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编外用工类项目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bookmarkEnd w:id="0"/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编办及相关部门批复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一是弥补在职教师不足；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二是保障聘用制教师工资福利待遇；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三是整体提升汉阳区教育教学质量。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24297.79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24297.79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新增三寄宿、钟家村寄宿学校两所学校的聘用制教师经费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24297.79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24297.79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24297.79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编外用工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编外用工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工资和福利支出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24297.79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弥补在职教师不足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弥补在职教师不足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聘用制教师工资经费享受标准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聘用制教师工资经费人数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大于1600人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聘用制教师工资经费享受比例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  <w:t>按时发放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聘用制教师流动率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提高汉阳区教师队伍整体水平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补充在编教师数量不足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聘用制教师工资经费享受标准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聘用制教师工资经费人数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大于1600人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大于1600人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大于1600人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聘用制教师工资经费享受比例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  <w:t>按时发放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聘用制教师流动率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提高汉阳区教师队伍整体水平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补充在编教师数量不足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  <w:rsid w:val="33ED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1150</Words>
  <Characters>1269</Characters>
  <Lines>0</Lines>
  <Paragraphs>0</Paragraphs>
  <TotalTime>2</TotalTime>
  <ScaleCrop>false</ScaleCrop>
  <LinksUpToDate>false</LinksUpToDate>
  <CharactersWithSpaces>1375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2023-01-18T01:59:12Z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